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51" w:rsidRPr="00322251" w:rsidRDefault="00322251" w:rsidP="00322251">
      <w:pPr>
        <w:pStyle w:val="Ttulo1"/>
        <w:spacing w:line="360" w:lineRule="auto"/>
        <w:ind w:left="0" w:right="0"/>
        <w:rPr>
          <w:rFonts w:ascii="Times New Roman" w:hAnsi="Times New Roman" w:cs="Times New Roman"/>
          <w:sz w:val="24"/>
          <w:szCs w:val="24"/>
        </w:rPr>
      </w:pPr>
      <w:r w:rsidRPr="00322251">
        <w:rPr>
          <w:rFonts w:ascii="Times New Roman" w:hAnsi="Times New Roman" w:cs="Times New Roman"/>
          <w:sz w:val="24"/>
          <w:szCs w:val="24"/>
        </w:rPr>
        <w:t>ANEXO VII</w:t>
      </w:r>
    </w:p>
    <w:p w:rsidR="00322251" w:rsidRPr="00322251" w:rsidRDefault="00322251" w:rsidP="00322251">
      <w:pPr>
        <w:spacing w:line="360" w:lineRule="auto"/>
        <w:jc w:val="both"/>
        <w:rPr>
          <w:rFonts w:ascii="Times New Roman" w:hAnsi="Times New Roman" w:cs="Times New Roman"/>
          <w:b/>
          <w:sz w:val="24"/>
          <w:szCs w:val="24"/>
        </w:rPr>
      </w:pPr>
      <w:r w:rsidRPr="00322251">
        <w:rPr>
          <w:rFonts w:ascii="Times New Roman" w:hAnsi="Times New Roman" w:cs="Times New Roman"/>
          <w:b/>
          <w:sz w:val="24"/>
          <w:szCs w:val="24"/>
        </w:rPr>
        <w:t>CLASSIFICAÇÃO DOS RESÍDUOS DA CONSTRUÇÃO CIVIL RESOLUÇÃO Nº 307, DE 5 DE JULHO DE 2002</w:t>
      </w:r>
    </w:p>
    <w:p w:rsidR="00322251" w:rsidRPr="00322251" w:rsidRDefault="00322251" w:rsidP="00322251">
      <w:pPr>
        <w:pStyle w:val="Corpodetexto"/>
        <w:spacing w:line="360" w:lineRule="auto"/>
        <w:jc w:val="both"/>
        <w:rPr>
          <w:rFonts w:ascii="Times New Roman" w:hAnsi="Times New Roman" w:cs="Times New Roman"/>
          <w:b/>
          <w:sz w:val="24"/>
          <w:szCs w:val="24"/>
        </w:rPr>
      </w:pPr>
    </w:p>
    <w:p w:rsidR="00322251" w:rsidRPr="00322251" w:rsidRDefault="00322251" w:rsidP="00322251">
      <w:pPr>
        <w:pStyle w:val="Corpodetexto"/>
        <w:spacing w:line="360" w:lineRule="auto"/>
        <w:jc w:val="both"/>
        <w:rPr>
          <w:rFonts w:ascii="Times New Roman" w:hAnsi="Times New Roman" w:cs="Times New Roman"/>
          <w:sz w:val="24"/>
          <w:szCs w:val="24"/>
        </w:rPr>
      </w:pPr>
      <w:r w:rsidRPr="00322251">
        <w:rPr>
          <w:rFonts w:ascii="Times New Roman" w:hAnsi="Times New Roman" w:cs="Times New Roman"/>
          <w:sz w:val="24"/>
          <w:szCs w:val="24"/>
        </w:rPr>
        <w:t>Art. 3º Os resíduos da construção civil deverão ser classificados, para efeito desta Resolução, da seguinte forma:</w:t>
      </w:r>
    </w:p>
    <w:p w:rsidR="00322251" w:rsidRPr="00322251" w:rsidRDefault="00322251" w:rsidP="00322251">
      <w:pPr>
        <w:pStyle w:val="PargrafodaLista"/>
        <w:numPr>
          <w:ilvl w:val="0"/>
          <w:numId w:val="1"/>
        </w:numPr>
        <w:tabs>
          <w:tab w:val="left" w:pos="283"/>
        </w:tabs>
        <w:spacing w:line="360" w:lineRule="auto"/>
        <w:ind w:left="0"/>
        <w:jc w:val="both"/>
        <w:rPr>
          <w:rFonts w:ascii="Times New Roman" w:hAnsi="Times New Roman" w:cs="Times New Roman"/>
          <w:sz w:val="24"/>
          <w:szCs w:val="24"/>
        </w:rPr>
      </w:pPr>
      <w:r w:rsidRPr="00322251">
        <w:rPr>
          <w:rFonts w:ascii="Times New Roman" w:hAnsi="Times New Roman" w:cs="Times New Roman"/>
          <w:sz w:val="24"/>
          <w:szCs w:val="24"/>
        </w:rPr>
        <w:t>- Classe A - são os resíduos reutilizáveis ou recicláveis como agregados, tais</w:t>
      </w:r>
      <w:r w:rsidRPr="00322251">
        <w:rPr>
          <w:rFonts w:ascii="Times New Roman" w:hAnsi="Times New Roman" w:cs="Times New Roman"/>
          <w:spacing w:val="-11"/>
          <w:sz w:val="24"/>
          <w:szCs w:val="24"/>
        </w:rPr>
        <w:t xml:space="preserve"> </w:t>
      </w:r>
      <w:r w:rsidRPr="00322251">
        <w:rPr>
          <w:rFonts w:ascii="Times New Roman" w:hAnsi="Times New Roman" w:cs="Times New Roman"/>
          <w:sz w:val="24"/>
          <w:szCs w:val="24"/>
        </w:rPr>
        <w:t>como:</w:t>
      </w:r>
    </w:p>
    <w:p w:rsidR="00322251" w:rsidRPr="00322251" w:rsidRDefault="00322251" w:rsidP="00322251">
      <w:pPr>
        <w:pStyle w:val="Corpodetexto"/>
        <w:spacing w:line="360" w:lineRule="auto"/>
        <w:jc w:val="both"/>
        <w:rPr>
          <w:rFonts w:ascii="Times New Roman" w:hAnsi="Times New Roman" w:cs="Times New Roman"/>
          <w:sz w:val="24"/>
          <w:szCs w:val="24"/>
        </w:rPr>
      </w:pPr>
      <w:r w:rsidRPr="00322251">
        <w:rPr>
          <w:rFonts w:ascii="Times New Roman" w:hAnsi="Times New Roman" w:cs="Times New Roman"/>
          <w:sz w:val="24"/>
          <w:szCs w:val="24"/>
        </w:rPr>
        <w:t>de</w:t>
      </w:r>
      <w:r w:rsidRPr="00322251">
        <w:rPr>
          <w:rFonts w:ascii="Times New Roman" w:hAnsi="Times New Roman" w:cs="Times New Roman"/>
          <w:spacing w:val="-14"/>
          <w:sz w:val="24"/>
          <w:szCs w:val="24"/>
        </w:rPr>
        <w:t xml:space="preserve"> </w:t>
      </w:r>
      <w:r w:rsidRPr="00322251">
        <w:rPr>
          <w:rFonts w:ascii="Times New Roman" w:hAnsi="Times New Roman" w:cs="Times New Roman"/>
          <w:sz w:val="24"/>
          <w:szCs w:val="24"/>
        </w:rPr>
        <w:t>construção,</w:t>
      </w:r>
      <w:r w:rsidRPr="00322251">
        <w:rPr>
          <w:rFonts w:ascii="Times New Roman" w:hAnsi="Times New Roman" w:cs="Times New Roman"/>
          <w:spacing w:val="-14"/>
          <w:sz w:val="24"/>
          <w:szCs w:val="24"/>
        </w:rPr>
        <w:t xml:space="preserve"> </w:t>
      </w:r>
      <w:r w:rsidRPr="00322251">
        <w:rPr>
          <w:rFonts w:ascii="Times New Roman" w:hAnsi="Times New Roman" w:cs="Times New Roman"/>
          <w:sz w:val="24"/>
          <w:szCs w:val="24"/>
        </w:rPr>
        <w:t>demolição,</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reformas</w:t>
      </w:r>
      <w:r w:rsidRPr="00322251">
        <w:rPr>
          <w:rFonts w:ascii="Times New Roman" w:hAnsi="Times New Roman" w:cs="Times New Roman"/>
          <w:spacing w:val="-12"/>
          <w:sz w:val="24"/>
          <w:szCs w:val="24"/>
        </w:rPr>
        <w:t xml:space="preserve"> </w:t>
      </w:r>
      <w:r w:rsidRPr="00322251">
        <w:rPr>
          <w:rFonts w:ascii="Times New Roman" w:hAnsi="Times New Roman" w:cs="Times New Roman"/>
          <w:sz w:val="24"/>
          <w:szCs w:val="24"/>
        </w:rPr>
        <w:t>e</w:t>
      </w:r>
      <w:r w:rsidRPr="00322251">
        <w:rPr>
          <w:rFonts w:ascii="Times New Roman" w:hAnsi="Times New Roman" w:cs="Times New Roman"/>
          <w:spacing w:val="-15"/>
          <w:sz w:val="24"/>
          <w:szCs w:val="24"/>
        </w:rPr>
        <w:t xml:space="preserve"> </w:t>
      </w:r>
      <w:r w:rsidRPr="00322251">
        <w:rPr>
          <w:rFonts w:ascii="Times New Roman" w:hAnsi="Times New Roman" w:cs="Times New Roman"/>
          <w:sz w:val="24"/>
          <w:szCs w:val="24"/>
        </w:rPr>
        <w:t>reparos</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de</w:t>
      </w:r>
      <w:r w:rsidRPr="00322251">
        <w:rPr>
          <w:rFonts w:ascii="Times New Roman" w:hAnsi="Times New Roman" w:cs="Times New Roman"/>
          <w:spacing w:val="-15"/>
          <w:sz w:val="24"/>
          <w:szCs w:val="24"/>
        </w:rPr>
        <w:t xml:space="preserve"> </w:t>
      </w:r>
      <w:r w:rsidRPr="00322251">
        <w:rPr>
          <w:rFonts w:ascii="Times New Roman" w:hAnsi="Times New Roman" w:cs="Times New Roman"/>
          <w:sz w:val="24"/>
          <w:szCs w:val="24"/>
        </w:rPr>
        <w:t>pavimentação</w:t>
      </w:r>
      <w:r w:rsidRPr="00322251">
        <w:rPr>
          <w:rFonts w:ascii="Times New Roman" w:hAnsi="Times New Roman" w:cs="Times New Roman"/>
          <w:spacing w:val="-12"/>
          <w:sz w:val="24"/>
          <w:szCs w:val="24"/>
        </w:rPr>
        <w:t xml:space="preserve"> </w:t>
      </w:r>
      <w:r w:rsidRPr="00322251">
        <w:rPr>
          <w:rFonts w:ascii="Times New Roman" w:hAnsi="Times New Roman" w:cs="Times New Roman"/>
          <w:sz w:val="24"/>
          <w:szCs w:val="24"/>
        </w:rPr>
        <w:t>e</w:t>
      </w:r>
      <w:r w:rsidRPr="00322251">
        <w:rPr>
          <w:rFonts w:ascii="Times New Roman" w:hAnsi="Times New Roman" w:cs="Times New Roman"/>
          <w:spacing w:val="-16"/>
          <w:sz w:val="24"/>
          <w:szCs w:val="24"/>
        </w:rPr>
        <w:t xml:space="preserve"> </w:t>
      </w:r>
      <w:r w:rsidRPr="00322251">
        <w:rPr>
          <w:rFonts w:ascii="Times New Roman" w:hAnsi="Times New Roman" w:cs="Times New Roman"/>
          <w:sz w:val="24"/>
          <w:szCs w:val="24"/>
        </w:rPr>
        <w:t>de</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outras</w:t>
      </w:r>
      <w:r w:rsidRPr="00322251">
        <w:rPr>
          <w:rFonts w:ascii="Times New Roman" w:hAnsi="Times New Roman" w:cs="Times New Roman"/>
          <w:spacing w:val="-12"/>
          <w:sz w:val="24"/>
          <w:szCs w:val="24"/>
        </w:rPr>
        <w:t xml:space="preserve"> </w:t>
      </w:r>
      <w:r w:rsidRPr="00322251">
        <w:rPr>
          <w:rFonts w:ascii="Times New Roman" w:hAnsi="Times New Roman" w:cs="Times New Roman"/>
          <w:sz w:val="24"/>
          <w:szCs w:val="24"/>
        </w:rPr>
        <w:t>obras</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de</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infraestrutura,</w:t>
      </w:r>
      <w:r w:rsidRPr="00322251">
        <w:rPr>
          <w:rFonts w:ascii="Times New Roman" w:hAnsi="Times New Roman" w:cs="Times New Roman"/>
          <w:spacing w:val="-14"/>
          <w:sz w:val="24"/>
          <w:szCs w:val="24"/>
        </w:rPr>
        <w:t xml:space="preserve"> </w:t>
      </w:r>
      <w:r w:rsidRPr="00322251">
        <w:rPr>
          <w:rFonts w:ascii="Times New Roman" w:hAnsi="Times New Roman" w:cs="Times New Roman"/>
          <w:sz w:val="24"/>
          <w:szCs w:val="24"/>
        </w:rPr>
        <w:t>inclusive solos provenientes de</w:t>
      </w:r>
      <w:r w:rsidRPr="00322251">
        <w:rPr>
          <w:rFonts w:ascii="Times New Roman" w:hAnsi="Times New Roman" w:cs="Times New Roman"/>
          <w:spacing w:val="-2"/>
          <w:sz w:val="24"/>
          <w:szCs w:val="24"/>
        </w:rPr>
        <w:t xml:space="preserve"> </w:t>
      </w:r>
      <w:r w:rsidRPr="00322251">
        <w:rPr>
          <w:rFonts w:ascii="Times New Roman" w:hAnsi="Times New Roman" w:cs="Times New Roman"/>
          <w:sz w:val="24"/>
          <w:szCs w:val="24"/>
        </w:rPr>
        <w:t>terraplanagem;</w:t>
      </w:r>
    </w:p>
    <w:p w:rsidR="00322251" w:rsidRPr="00322251" w:rsidRDefault="00322251" w:rsidP="00322251">
      <w:pPr>
        <w:pStyle w:val="Corpodetexto"/>
        <w:spacing w:line="360" w:lineRule="auto"/>
        <w:jc w:val="both"/>
        <w:rPr>
          <w:rFonts w:ascii="Times New Roman" w:hAnsi="Times New Roman" w:cs="Times New Roman"/>
          <w:sz w:val="24"/>
          <w:szCs w:val="24"/>
        </w:rPr>
      </w:pPr>
      <w:r w:rsidRPr="00322251">
        <w:rPr>
          <w:rFonts w:ascii="Times New Roman" w:hAnsi="Times New Roman" w:cs="Times New Roman"/>
          <w:sz w:val="24"/>
          <w:szCs w:val="24"/>
        </w:rPr>
        <w:t>de construção, demolição, reformas e reparos de edificações: componentes cerâmicos (tijolos, blocos, telhas, placas de revestimento etc.), argamassa e concreto;</w:t>
      </w:r>
    </w:p>
    <w:p w:rsidR="00322251" w:rsidRPr="00322251" w:rsidRDefault="00322251" w:rsidP="00322251">
      <w:pPr>
        <w:pStyle w:val="Corpodetexto"/>
        <w:spacing w:line="360" w:lineRule="auto"/>
        <w:jc w:val="both"/>
        <w:rPr>
          <w:rFonts w:ascii="Times New Roman" w:hAnsi="Times New Roman" w:cs="Times New Roman"/>
          <w:sz w:val="24"/>
          <w:szCs w:val="24"/>
        </w:rPr>
      </w:pPr>
      <w:r w:rsidRPr="00322251">
        <w:rPr>
          <w:rFonts w:ascii="Times New Roman" w:hAnsi="Times New Roman" w:cs="Times New Roman"/>
          <w:sz w:val="24"/>
          <w:szCs w:val="24"/>
        </w:rPr>
        <w:t>- de processo de fabricação e/ou demolição de peças pré-moldadas em concreto (blocos, tubos, meio-fios etc.) produzidas nos canteiros de obras;</w:t>
      </w:r>
    </w:p>
    <w:p w:rsidR="00322251" w:rsidRPr="00322251" w:rsidRDefault="00322251" w:rsidP="00322251">
      <w:pPr>
        <w:pStyle w:val="PargrafodaLista"/>
        <w:numPr>
          <w:ilvl w:val="0"/>
          <w:numId w:val="1"/>
        </w:numPr>
        <w:tabs>
          <w:tab w:val="left" w:pos="372"/>
        </w:tabs>
        <w:spacing w:line="360" w:lineRule="auto"/>
        <w:ind w:left="0" w:firstLine="0"/>
        <w:jc w:val="both"/>
        <w:rPr>
          <w:rFonts w:ascii="Times New Roman" w:hAnsi="Times New Roman" w:cs="Times New Roman"/>
          <w:sz w:val="24"/>
          <w:szCs w:val="24"/>
        </w:rPr>
      </w:pPr>
      <w:r w:rsidRPr="00322251">
        <w:rPr>
          <w:rFonts w:ascii="Times New Roman" w:hAnsi="Times New Roman" w:cs="Times New Roman"/>
          <w:sz w:val="24"/>
          <w:szCs w:val="24"/>
        </w:rPr>
        <w:t>- Classe B - são os resíduos recicláveis para outras destinações, tais como plásticos, papel, papelão, metais, vidros, madeiras, embalagens vazias de tintas imobiliárias e gesso; (Redação dada pela</w:t>
      </w:r>
      <w:r w:rsidRPr="00322251">
        <w:rPr>
          <w:rFonts w:ascii="Times New Roman" w:hAnsi="Times New Roman" w:cs="Times New Roman"/>
          <w:spacing w:val="-37"/>
          <w:sz w:val="24"/>
          <w:szCs w:val="24"/>
        </w:rPr>
        <w:t xml:space="preserve"> </w:t>
      </w:r>
      <w:r w:rsidRPr="00322251">
        <w:rPr>
          <w:rFonts w:ascii="Times New Roman" w:hAnsi="Times New Roman" w:cs="Times New Roman"/>
          <w:sz w:val="24"/>
          <w:szCs w:val="24"/>
        </w:rPr>
        <w:t>Resolução nº 469/2015).</w:t>
      </w:r>
    </w:p>
    <w:p w:rsidR="00322251" w:rsidRPr="00322251" w:rsidRDefault="00322251" w:rsidP="00322251">
      <w:pPr>
        <w:pStyle w:val="PargrafodaLista"/>
        <w:numPr>
          <w:ilvl w:val="0"/>
          <w:numId w:val="1"/>
        </w:numPr>
        <w:tabs>
          <w:tab w:val="left" w:pos="468"/>
        </w:tabs>
        <w:spacing w:line="360" w:lineRule="auto"/>
        <w:ind w:left="0" w:firstLine="0"/>
        <w:jc w:val="both"/>
        <w:rPr>
          <w:rFonts w:ascii="Times New Roman" w:hAnsi="Times New Roman" w:cs="Times New Roman"/>
          <w:sz w:val="24"/>
          <w:szCs w:val="24"/>
        </w:rPr>
      </w:pPr>
      <w:r w:rsidRPr="00322251">
        <w:rPr>
          <w:rFonts w:ascii="Times New Roman" w:hAnsi="Times New Roman" w:cs="Times New Roman"/>
          <w:sz w:val="24"/>
          <w:szCs w:val="24"/>
        </w:rPr>
        <w:t>- Classe C - são os resíduos para os quais não foram desenvolvidas tecnologias ou aplicações economicamente viáveis que permitam a sua reciclagem ou recuperação; (Redação dada pela Resolução n°</w:t>
      </w:r>
      <w:r w:rsidRPr="00322251">
        <w:rPr>
          <w:rFonts w:ascii="Times New Roman" w:hAnsi="Times New Roman" w:cs="Times New Roman"/>
          <w:spacing w:val="1"/>
          <w:sz w:val="24"/>
          <w:szCs w:val="24"/>
        </w:rPr>
        <w:t xml:space="preserve"> </w:t>
      </w:r>
      <w:r w:rsidRPr="00322251">
        <w:rPr>
          <w:rFonts w:ascii="Times New Roman" w:hAnsi="Times New Roman" w:cs="Times New Roman"/>
          <w:sz w:val="24"/>
          <w:szCs w:val="24"/>
        </w:rPr>
        <w:t>431/11).</w:t>
      </w:r>
    </w:p>
    <w:p w:rsidR="00322251" w:rsidRPr="00322251" w:rsidRDefault="00322251" w:rsidP="00322251">
      <w:pPr>
        <w:pStyle w:val="PargrafodaLista"/>
        <w:numPr>
          <w:ilvl w:val="0"/>
          <w:numId w:val="1"/>
        </w:numPr>
        <w:tabs>
          <w:tab w:val="left" w:pos="451"/>
        </w:tabs>
        <w:spacing w:line="360" w:lineRule="auto"/>
        <w:ind w:left="0" w:firstLine="0"/>
        <w:jc w:val="both"/>
        <w:rPr>
          <w:rFonts w:ascii="Times New Roman" w:hAnsi="Times New Roman" w:cs="Times New Roman"/>
          <w:sz w:val="24"/>
          <w:szCs w:val="24"/>
        </w:rPr>
      </w:pPr>
      <w:r w:rsidRPr="00322251">
        <w:rPr>
          <w:rFonts w:ascii="Times New Roman" w:hAnsi="Times New Roman" w:cs="Times New Roman"/>
          <w:sz w:val="24"/>
          <w:szCs w:val="24"/>
        </w:rPr>
        <w:t xml:space="preserve">- Classe D - são </w:t>
      </w:r>
      <w:r w:rsidRPr="00322251">
        <w:rPr>
          <w:rFonts w:ascii="Times New Roman" w:hAnsi="Times New Roman" w:cs="Times New Roman"/>
          <w:sz w:val="24"/>
          <w:szCs w:val="24"/>
          <w:u w:val="single"/>
        </w:rPr>
        <w:t>resíduos perigosos</w:t>
      </w:r>
      <w:r w:rsidRPr="00322251">
        <w:rPr>
          <w:rFonts w:ascii="Times New Roman" w:hAnsi="Times New Roman" w:cs="Times New Roman"/>
          <w:sz w:val="24"/>
          <w:szCs w:val="24"/>
        </w:rPr>
        <w:t xml:space="preserve"> oriundos do processo de construção, tais como tintas, solventes, óleos</w:t>
      </w:r>
      <w:r w:rsidRPr="00322251">
        <w:rPr>
          <w:rFonts w:ascii="Times New Roman" w:hAnsi="Times New Roman" w:cs="Times New Roman"/>
          <w:spacing w:val="-11"/>
          <w:sz w:val="24"/>
          <w:szCs w:val="24"/>
        </w:rPr>
        <w:t xml:space="preserve"> </w:t>
      </w:r>
      <w:r w:rsidRPr="00322251">
        <w:rPr>
          <w:rFonts w:ascii="Times New Roman" w:hAnsi="Times New Roman" w:cs="Times New Roman"/>
          <w:sz w:val="24"/>
          <w:szCs w:val="24"/>
        </w:rPr>
        <w:t>e</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outros</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ou</w:t>
      </w:r>
      <w:r w:rsidRPr="00322251">
        <w:rPr>
          <w:rFonts w:ascii="Times New Roman" w:hAnsi="Times New Roman" w:cs="Times New Roman"/>
          <w:spacing w:val="-14"/>
          <w:sz w:val="24"/>
          <w:szCs w:val="24"/>
        </w:rPr>
        <w:t xml:space="preserve"> </w:t>
      </w:r>
      <w:r w:rsidRPr="00322251">
        <w:rPr>
          <w:rFonts w:ascii="Times New Roman" w:hAnsi="Times New Roman" w:cs="Times New Roman"/>
          <w:sz w:val="24"/>
          <w:szCs w:val="24"/>
        </w:rPr>
        <w:t>aqueles</w:t>
      </w:r>
      <w:r w:rsidRPr="00322251">
        <w:rPr>
          <w:rFonts w:ascii="Times New Roman" w:hAnsi="Times New Roman" w:cs="Times New Roman"/>
          <w:spacing w:val="-10"/>
          <w:sz w:val="24"/>
          <w:szCs w:val="24"/>
        </w:rPr>
        <w:t xml:space="preserve"> </w:t>
      </w:r>
      <w:r w:rsidRPr="00322251">
        <w:rPr>
          <w:rFonts w:ascii="Times New Roman" w:hAnsi="Times New Roman" w:cs="Times New Roman"/>
          <w:sz w:val="24"/>
          <w:szCs w:val="24"/>
        </w:rPr>
        <w:t>contaminados</w:t>
      </w:r>
      <w:r w:rsidRPr="00322251">
        <w:rPr>
          <w:rFonts w:ascii="Times New Roman" w:hAnsi="Times New Roman" w:cs="Times New Roman"/>
          <w:spacing w:val="-13"/>
          <w:sz w:val="24"/>
          <w:szCs w:val="24"/>
        </w:rPr>
        <w:t xml:space="preserve"> </w:t>
      </w:r>
      <w:r w:rsidRPr="00322251">
        <w:rPr>
          <w:rFonts w:ascii="Times New Roman" w:hAnsi="Times New Roman" w:cs="Times New Roman"/>
          <w:sz w:val="24"/>
          <w:szCs w:val="24"/>
        </w:rPr>
        <w:t>ou</w:t>
      </w:r>
      <w:r w:rsidRPr="00322251">
        <w:rPr>
          <w:rFonts w:ascii="Times New Roman" w:hAnsi="Times New Roman" w:cs="Times New Roman"/>
          <w:spacing w:val="-14"/>
          <w:sz w:val="24"/>
          <w:szCs w:val="24"/>
        </w:rPr>
        <w:t xml:space="preserve"> </w:t>
      </w:r>
      <w:r w:rsidRPr="00322251">
        <w:rPr>
          <w:rFonts w:ascii="Times New Roman" w:hAnsi="Times New Roman" w:cs="Times New Roman"/>
          <w:sz w:val="24"/>
          <w:szCs w:val="24"/>
        </w:rPr>
        <w:t>prejudiciais</w:t>
      </w:r>
      <w:r w:rsidRPr="00322251">
        <w:rPr>
          <w:rFonts w:ascii="Times New Roman" w:hAnsi="Times New Roman" w:cs="Times New Roman"/>
          <w:spacing w:val="-10"/>
          <w:sz w:val="24"/>
          <w:szCs w:val="24"/>
        </w:rPr>
        <w:t xml:space="preserve"> </w:t>
      </w:r>
      <w:r w:rsidRPr="00322251">
        <w:rPr>
          <w:rFonts w:ascii="Times New Roman" w:hAnsi="Times New Roman" w:cs="Times New Roman"/>
          <w:sz w:val="24"/>
          <w:szCs w:val="24"/>
        </w:rPr>
        <w:t>à</w:t>
      </w:r>
      <w:r w:rsidRPr="00322251">
        <w:rPr>
          <w:rFonts w:ascii="Times New Roman" w:hAnsi="Times New Roman" w:cs="Times New Roman"/>
          <w:spacing w:val="-10"/>
          <w:sz w:val="24"/>
          <w:szCs w:val="24"/>
        </w:rPr>
        <w:t xml:space="preserve"> </w:t>
      </w:r>
      <w:r w:rsidRPr="00322251">
        <w:rPr>
          <w:rFonts w:ascii="Times New Roman" w:hAnsi="Times New Roman" w:cs="Times New Roman"/>
          <w:sz w:val="24"/>
          <w:szCs w:val="24"/>
        </w:rPr>
        <w:t>saúde</w:t>
      </w:r>
      <w:r w:rsidRPr="00322251">
        <w:rPr>
          <w:rFonts w:ascii="Times New Roman" w:hAnsi="Times New Roman" w:cs="Times New Roman"/>
          <w:spacing w:val="-14"/>
          <w:sz w:val="24"/>
          <w:szCs w:val="24"/>
        </w:rPr>
        <w:t xml:space="preserve"> </w:t>
      </w:r>
      <w:r w:rsidRPr="00322251">
        <w:rPr>
          <w:rFonts w:ascii="Times New Roman" w:hAnsi="Times New Roman" w:cs="Times New Roman"/>
          <w:sz w:val="24"/>
          <w:szCs w:val="24"/>
        </w:rPr>
        <w:t>oriundos</w:t>
      </w:r>
      <w:r w:rsidRPr="00322251">
        <w:rPr>
          <w:rFonts w:ascii="Times New Roman" w:hAnsi="Times New Roman" w:cs="Times New Roman"/>
          <w:spacing w:val="-12"/>
          <w:sz w:val="24"/>
          <w:szCs w:val="24"/>
        </w:rPr>
        <w:t xml:space="preserve"> </w:t>
      </w:r>
      <w:r w:rsidRPr="00322251">
        <w:rPr>
          <w:rFonts w:ascii="Times New Roman" w:hAnsi="Times New Roman" w:cs="Times New Roman"/>
          <w:sz w:val="24"/>
          <w:szCs w:val="24"/>
        </w:rPr>
        <w:t>de</w:t>
      </w:r>
      <w:r w:rsidRPr="00322251">
        <w:rPr>
          <w:rFonts w:ascii="Times New Roman" w:hAnsi="Times New Roman" w:cs="Times New Roman"/>
          <w:spacing w:val="-11"/>
          <w:sz w:val="24"/>
          <w:szCs w:val="24"/>
        </w:rPr>
        <w:t xml:space="preserve"> </w:t>
      </w:r>
      <w:r w:rsidRPr="00322251">
        <w:rPr>
          <w:rFonts w:ascii="Times New Roman" w:hAnsi="Times New Roman" w:cs="Times New Roman"/>
          <w:sz w:val="24"/>
          <w:szCs w:val="24"/>
        </w:rPr>
        <w:t>demolições,</w:t>
      </w:r>
      <w:r w:rsidRPr="00322251">
        <w:rPr>
          <w:rFonts w:ascii="Times New Roman" w:hAnsi="Times New Roman" w:cs="Times New Roman"/>
          <w:spacing w:val="-12"/>
          <w:sz w:val="24"/>
          <w:szCs w:val="24"/>
        </w:rPr>
        <w:t xml:space="preserve"> </w:t>
      </w:r>
      <w:r w:rsidRPr="00322251">
        <w:rPr>
          <w:rFonts w:ascii="Times New Roman" w:hAnsi="Times New Roman" w:cs="Times New Roman"/>
          <w:sz w:val="24"/>
          <w:szCs w:val="24"/>
        </w:rPr>
        <w:t>reformas</w:t>
      </w:r>
      <w:r w:rsidRPr="00322251">
        <w:rPr>
          <w:rFonts w:ascii="Times New Roman" w:hAnsi="Times New Roman" w:cs="Times New Roman"/>
          <w:spacing w:val="-15"/>
          <w:sz w:val="24"/>
          <w:szCs w:val="24"/>
        </w:rPr>
        <w:t xml:space="preserve"> </w:t>
      </w:r>
      <w:r w:rsidRPr="00322251">
        <w:rPr>
          <w:rFonts w:ascii="Times New Roman" w:hAnsi="Times New Roman" w:cs="Times New Roman"/>
          <w:sz w:val="24"/>
          <w:szCs w:val="24"/>
        </w:rPr>
        <w:t>e</w:t>
      </w:r>
      <w:r w:rsidRPr="00322251">
        <w:rPr>
          <w:rFonts w:ascii="Times New Roman" w:hAnsi="Times New Roman" w:cs="Times New Roman"/>
          <w:spacing w:val="-10"/>
          <w:sz w:val="24"/>
          <w:szCs w:val="24"/>
        </w:rPr>
        <w:t xml:space="preserve"> </w:t>
      </w:r>
      <w:r w:rsidRPr="00322251">
        <w:rPr>
          <w:rFonts w:ascii="Times New Roman" w:hAnsi="Times New Roman" w:cs="Times New Roman"/>
          <w:sz w:val="24"/>
          <w:szCs w:val="24"/>
        </w:rPr>
        <w:t>reparos de</w:t>
      </w:r>
      <w:r w:rsidRPr="00322251">
        <w:rPr>
          <w:rFonts w:ascii="Times New Roman" w:hAnsi="Times New Roman" w:cs="Times New Roman"/>
          <w:spacing w:val="-4"/>
          <w:sz w:val="24"/>
          <w:szCs w:val="24"/>
        </w:rPr>
        <w:t xml:space="preserve"> </w:t>
      </w:r>
      <w:r w:rsidRPr="00322251">
        <w:rPr>
          <w:rFonts w:ascii="Times New Roman" w:hAnsi="Times New Roman" w:cs="Times New Roman"/>
          <w:sz w:val="24"/>
          <w:szCs w:val="24"/>
        </w:rPr>
        <w:t>clínicas</w:t>
      </w:r>
      <w:r w:rsidRPr="00322251">
        <w:rPr>
          <w:rFonts w:ascii="Times New Roman" w:hAnsi="Times New Roman" w:cs="Times New Roman"/>
          <w:spacing w:val="-4"/>
          <w:sz w:val="24"/>
          <w:szCs w:val="24"/>
        </w:rPr>
        <w:t xml:space="preserve"> </w:t>
      </w:r>
      <w:r w:rsidRPr="00322251">
        <w:rPr>
          <w:rFonts w:ascii="Times New Roman" w:hAnsi="Times New Roman" w:cs="Times New Roman"/>
          <w:sz w:val="24"/>
          <w:szCs w:val="24"/>
        </w:rPr>
        <w:t>radiológicas,</w:t>
      </w:r>
      <w:r w:rsidRPr="00322251">
        <w:rPr>
          <w:rFonts w:ascii="Times New Roman" w:hAnsi="Times New Roman" w:cs="Times New Roman"/>
          <w:spacing w:val="-2"/>
          <w:sz w:val="24"/>
          <w:szCs w:val="24"/>
        </w:rPr>
        <w:t xml:space="preserve"> </w:t>
      </w:r>
      <w:r w:rsidRPr="00322251">
        <w:rPr>
          <w:rFonts w:ascii="Times New Roman" w:hAnsi="Times New Roman" w:cs="Times New Roman"/>
          <w:sz w:val="24"/>
          <w:szCs w:val="24"/>
        </w:rPr>
        <w:t>instalações</w:t>
      </w:r>
      <w:r w:rsidRPr="00322251">
        <w:rPr>
          <w:rFonts w:ascii="Times New Roman" w:hAnsi="Times New Roman" w:cs="Times New Roman"/>
          <w:spacing w:val="-4"/>
          <w:sz w:val="24"/>
          <w:szCs w:val="24"/>
        </w:rPr>
        <w:t xml:space="preserve"> </w:t>
      </w:r>
      <w:r w:rsidRPr="00322251">
        <w:rPr>
          <w:rFonts w:ascii="Times New Roman" w:hAnsi="Times New Roman" w:cs="Times New Roman"/>
          <w:sz w:val="24"/>
          <w:szCs w:val="24"/>
        </w:rPr>
        <w:t>industriais</w:t>
      </w:r>
      <w:r w:rsidRPr="00322251">
        <w:rPr>
          <w:rFonts w:ascii="Times New Roman" w:hAnsi="Times New Roman" w:cs="Times New Roman"/>
          <w:spacing w:val="-3"/>
          <w:sz w:val="24"/>
          <w:szCs w:val="24"/>
        </w:rPr>
        <w:t xml:space="preserve"> </w:t>
      </w:r>
      <w:r w:rsidRPr="00322251">
        <w:rPr>
          <w:rFonts w:ascii="Times New Roman" w:hAnsi="Times New Roman" w:cs="Times New Roman"/>
          <w:sz w:val="24"/>
          <w:szCs w:val="24"/>
        </w:rPr>
        <w:t>e</w:t>
      </w:r>
      <w:r w:rsidRPr="00322251">
        <w:rPr>
          <w:rFonts w:ascii="Times New Roman" w:hAnsi="Times New Roman" w:cs="Times New Roman"/>
          <w:spacing w:val="-4"/>
          <w:sz w:val="24"/>
          <w:szCs w:val="24"/>
        </w:rPr>
        <w:t xml:space="preserve"> </w:t>
      </w:r>
      <w:r w:rsidRPr="00322251">
        <w:rPr>
          <w:rFonts w:ascii="Times New Roman" w:hAnsi="Times New Roman" w:cs="Times New Roman"/>
          <w:sz w:val="24"/>
          <w:szCs w:val="24"/>
        </w:rPr>
        <w:t>outros,</w:t>
      </w:r>
      <w:r w:rsidRPr="00322251">
        <w:rPr>
          <w:rFonts w:ascii="Times New Roman" w:hAnsi="Times New Roman" w:cs="Times New Roman"/>
          <w:spacing w:val="-3"/>
          <w:sz w:val="24"/>
          <w:szCs w:val="24"/>
        </w:rPr>
        <w:t xml:space="preserve"> </w:t>
      </w:r>
      <w:r w:rsidRPr="00322251">
        <w:rPr>
          <w:rFonts w:ascii="Times New Roman" w:hAnsi="Times New Roman" w:cs="Times New Roman"/>
          <w:sz w:val="24"/>
          <w:szCs w:val="24"/>
        </w:rPr>
        <w:t>bem</w:t>
      </w:r>
      <w:r w:rsidRPr="00322251">
        <w:rPr>
          <w:rFonts w:ascii="Times New Roman" w:hAnsi="Times New Roman" w:cs="Times New Roman"/>
          <w:spacing w:val="-2"/>
          <w:sz w:val="24"/>
          <w:szCs w:val="24"/>
        </w:rPr>
        <w:t xml:space="preserve"> </w:t>
      </w:r>
      <w:r w:rsidRPr="00322251">
        <w:rPr>
          <w:rFonts w:ascii="Times New Roman" w:hAnsi="Times New Roman" w:cs="Times New Roman"/>
          <w:sz w:val="24"/>
          <w:szCs w:val="24"/>
        </w:rPr>
        <w:t>como</w:t>
      </w:r>
      <w:r w:rsidRPr="00322251">
        <w:rPr>
          <w:rFonts w:ascii="Times New Roman" w:hAnsi="Times New Roman" w:cs="Times New Roman"/>
          <w:spacing w:val="-4"/>
          <w:sz w:val="24"/>
          <w:szCs w:val="24"/>
        </w:rPr>
        <w:t xml:space="preserve"> </w:t>
      </w:r>
      <w:r w:rsidRPr="00322251">
        <w:rPr>
          <w:rFonts w:ascii="Times New Roman" w:hAnsi="Times New Roman" w:cs="Times New Roman"/>
          <w:sz w:val="24"/>
          <w:szCs w:val="24"/>
        </w:rPr>
        <w:t>telhas</w:t>
      </w:r>
      <w:r w:rsidRPr="00322251">
        <w:rPr>
          <w:rFonts w:ascii="Times New Roman" w:hAnsi="Times New Roman" w:cs="Times New Roman"/>
          <w:spacing w:val="-5"/>
          <w:sz w:val="24"/>
          <w:szCs w:val="24"/>
        </w:rPr>
        <w:t xml:space="preserve"> </w:t>
      </w:r>
      <w:r w:rsidRPr="00322251">
        <w:rPr>
          <w:rFonts w:ascii="Times New Roman" w:hAnsi="Times New Roman" w:cs="Times New Roman"/>
          <w:sz w:val="24"/>
          <w:szCs w:val="24"/>
        </w:rPr>
        <w:t>e</w:t>
      </w:r>
      <w:r w:rsidRPr="00322251">
        <w:rPr>
          <w:rFonts w:ascii="Times New Roman" w:hAnsi="Times New Roman" w:cs="Times New Roman"/>
          <w:spacing w:val="-4"/>
          <w:sz w:val="24"/>
          <w:szCs w:val="24"/>
        </w:rPr>
        <w:t xml:space="preserve"> </w:t>
      </w:r>
      <w:r w:rsidRPr="00322251">
        <w:rPr>
          <w:rFonts w:ascii="Times New Roman" w:hAnsi="Times New Roman" w:cs="Times New Roman"/>
          <w:sz w:val="24"/>
          <w:szCs w:val="24"/>
        </w:rPr>
        <w:t>demais objetos</w:t>
      </w:r>
      <w:r w:rsidRPr="00322251">
        <w:rPr>
          <w:rFonts w:ascii="Times New Roman" w:hAnsi="Times New Roman" w:cs="Times New Roman"/>
          <w:spacing w:val="-2"/>
          <w:sz w:val="24"/>
          <w:szCs w:val="24"/>
        </w:rPr>
        <w:t xml:space="preserve"> </w:t>
      </w:r>
      <w:r w:rsidRPr="00322251">
        <w:rPr>
          <w:rFonts w:ascii="Times New Roman" w:hAnsi="Times New Roman" w:cs="Times New Roman"/>
          <w:sz w:val="24"/>
          <w:szCs w:val="24"/>
        </w:rPr>
        <w:t>e</w:t>
      </w:r>
      <w:r w:rsidRPr="00322251">
        <w:rPr>
          <w:rFonts w:ascii="Times New Roman" w:hAnsi="Times New Roman" w:cs="Times New Roman"/>
          <w:spacing w:val="-6"/>
          <w:sz w:val="24"/>
          <w:szCs w:val="24"/>
        </w:rPr>
        <w:t xml:space="preserve"> </w:t>
      </w:r>
      <w:r w:rsidRPr="00322251">
        <w:rPr>
          <w:rFonts w:ascii="Times New Roman" w:hAnsi="Times New Roman" w:cs="Times New Roman"/>
          <w:sz w:val="24"/>
          <w:szCs w:val="24"/>
        </w:rPr>
        <w:t>materiais</w:t>
      </w:r>
      <w:r w:rsidRPr="00322251">
        <w:rPr>
          <w:rFonts w:ascii="Times New Roman" w:hAnsi="Times New Roman" w:cs="Times New Roman"/>
          <w:spacing w:val="-3"/>
          <w:sz w:val="24"/>
          <w:szCs w:val="24"/>
        </w:rPr>
        <w:t xml:space="preserve"> </w:t>
      </w:r>
      <w:r w:rsidRPr="00322251">
        <w:rPr>
          <w:rFonts w:ascii="Times New Roman" w:hAnsi="Times New Roman" w:cs="Times New Roman"/>
          <w:sz w:val="24"/>
          <w:szCs w:val="24"/>
        </w:rPr>
        <w:t>que contenham amianto ou outros produtos nocivos à saúde. (Redação dada pela Resolução n°</w:t>
      </w:r>
      <w:r w:rsidRPr="00322251">
        <w:rPr>
          <w:rFonts w:ascii="Times New Roman" w:hAnsi="Times New Roman" w:cs="Times New Roman"/>
          <w:spacing w:val="-18"/>
          <w:sz w:val="24"/>
          <w:szCs w:val="24"/>
        </w:rPr>
        <w:t xml:space="preserve"> </w:t>
      </w:r>
      <w:r w:rsidRPr="00322251">
        <w:rPr>
          <w:rFonts w:ascii="Times New Roman" w:hAnsi="Times New Roman" w:cs="Times New Roman"/>
          <w:sz w:val="24"/>
          <w:szCs w:val="24"/>
        </w:rPr>
        <w:t>348/04).</w:t>
      </w:r>
    </w:p>
    <w:p w:rsidR="00322251" w:rsidRPr="00322251" w:rsidRDefault="00322251" w:rsidP="00322251">
      <w:pPr>
        <w:pStyle w:val="Corpodetexto"/>
        <w:spacing w:line="360" w:lineRule="auto"/>
        <w:jc w:val="both"/>
        <w:rPr>
          <w:rFonts w:ascii="Times New Roman" w:hAnsi="Times New Roman" w:cs="Times New Roman"/>
          <w:sz w:val="24"/>
          <w:szCs w:val="24"/>
        </w:rPr>
      </w:pPr>
      <w:r w:rsidRPr="00322251">
        <w:rPr>
          <w:rFonts w:ascii="Times New Roman" w:hAnsi="Times New Roman" w:cs="Times New Roman"/>
          <w:sz w:val="24"/>
          <w:szCs w:val="24"/>
        </w:rPr>
        <w:t>§ 1º No âmbito dessa resolução consideram-se embalagens vazias de tintas imobiliárias, aquelas cujo recipiente apresenta apenas filme seco de tinta em seu revestimento interno, sem acúmulo de resíduo de tinta líquida. (Redação dada pela Resolução nº 469/2015)</w:t>
      </w:r>
    </w:p>
    <w:p w:rsidR="00322251" w:rsidRPr="00322251" w:rsidRDefault="00322251" w:rsidP="00322251">
      <w:pPr>
        <w:pStyle w:val="Corpodetexto"/>
        <w:spacing w:line="360" w:lineRule="auto"/>
        <w:jc w:val="both"/>
        <w:rPr>
          <w:rFonts w:ascii="Times New Roman" w:hAnsi="Times New Roman" w:cs="Times New Roman"/>
          <w:sz w:val="24"/>
          <w:szCs w:val="24"/>
        </w:rPr>
      </w:pPr>
      <w:r w:rsidRPr="00322251">
        <w:rPr>
          <w:rFonts w:ascii="Times New Roman" w:hAnsi="Times New Roman" w:cs="Times New Roman"/>
          <w:sz w:val="24"/>
          <w:szCs w:val="24"/>
        </w:rPr>
        <w:t>§ 2º As embalagens de tintas usadas na construção civil serão submetidas a sistema de logística reversa, conforme requisitos da Lei nº 12.305/2010, que contemple a destinação ambientalmente adequados dos resíduos de tintas presentes nas embalagens. (Redação dada pela Resolução nº 469/2015).</w:t>
      </w:r>
    </w:p>
    <w:p w:rsidR="005A5A1F" w:rsidRPr="00322251" w:rsidRDefault="005E6192" w:rsidP="00322251">
      <w:pPr>
        <w:spacing w:line="360" w:lineRule="auto"/>
        <w:jc w:val="both"/>
        <w:rPr>
          <w:rFonts w:ascii="Times New Roman" w:hAnsi="Times New Roman" w:cs="Times New Roman"/>
          <w:sz w:val="24"/>
          <w:szCs w:val="24"/>
        </w:rPr>
      </w:pPr>
    </w:p>
    <w:sectPr w:rsidR="005A5A1F" w:rsidRPr="0032225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92" w:rsidRDefault="005E6192" w:rsidP="00067F26">
      <w:r>
        <w:separator/>
      </w:r>
    </w:p>
  </w:endnote>
  <w:endnote w:type="continuationSeparator" w:id="0">
    <w:p w:rsidR="005E6192" w:rsidRDefault="005E6192" w:rsidP="0006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dobe Heiti Std R">
    <w:altName w:val="Yu Gothic UI"/>
    <w:panose1 w:val="00000000000000000000"/>
    <w:charset w:val="80"/>
    <w:family w:val="swiss"/>
    <w:notTrueType/>
    <w:pitch w:val="variable"/>
    <w:sig w:usb0="00000000"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6" w:rsidRDefault="00067F2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6" w:rsidRDefault="00067F26" w:rsidP="00067F26">
    <w:pPr>
      <w:pStyle w:val="Rodap"/>
      <w:pBdr>
        <w:bottom w:val="single" w:sz="12" w:space="1" w:color="auto"/>
      </w:pBdr>
      <w:jc w:val="center"/>
      <w:rPr>
        <w:rFonts w:ascii="Adobe Heiti Std R" w:eastAsia="Adobe Heiti Std R" w:hAnsi="Adobe Heiti Std R"/>
        <w:sz w:val="18"/>
        <w:szCs w:val="18"/>
      </w:rPr>
    </w:pPr>
  </w:p>
  <w:p w:rsidR="00067F26" w:rsidRPr="006C2CC8" w:rsidRDefault="00067F26" w:rsidP="00067F26">
    <w:pPr>
      <w:pStyle w:val="Rodap"/>
      <w:spacing w:line="276" w:lineRule="auto"/>
      <w:jc w:val="center"/>
      <w:rPr>
        <w:rFonts w:asciiTheme="majorHAnsi" w:eastAsia="Adobe Heiti Std R" w:hAnsiTheme="majorHAnsi"/>
        <w:sz w:val="16"/>
        <w:szCs w:val="18"/>
      </w:rPr>
    </w:pPr>
    <w:r w:rsidRPr="006C2CC8">
      <w:rPr>
        <w:rFonts w:asciiTheme="majorHAnsi" w:eastAsia="Adobe Heiti Std R" w:hAnsiTheme="majorHAnsi"/>
        <w:sz w:val="16"/>
        <w:szCs w:val="18"/>
      </w:rPr>
      <w:t>Prefeitura: Avenida Seis, nº 706 – Centro | Chapadão do Sul–MS  CNPJ: 24.651.200/0001-72  CEP: 79.560-000 | 67 3562 5680</w:t>
    </w:r>
  </w:p>
  <w:p w:rsidR="00067F26" w:rsidRPr="00067F26" w:rsidRDefault="00067F26" w:rsidP="00067F26">
    <w:pPr>
      <w:pStyle w:val="Rodap"/>
      <w:spacing w:line="276" w:lineRule="auto"/>
      <w:jc w:val="center"/>
      <w:rPr>
        <w:rFonts w:asciiTheme="majorHAnsi" w:eastAsia="Adobe Heiti Std R" w:hAnsiTheme="majorHAnsi"/>
        <w:sz w:val="16"/>
        <w:szCs w:val="18"/>
      </w:rPr>
    </w:pPr>
    <w:r w:rsidRPr="006C2CC8">
      <w:rPr>
        <w:rFonts w:asciiTheme="majorHAnsi" w:eastAsia="Adobe Heiti Std R" w:hAnsiTheme="majorHAnsi"/>
        <w:sz w:val="16"/>
        <w:szCs w:val="18"/>
      </w:rPr>
      <w:t>Sedema: Avenida Onze ,nº1.000 - Centro| Chapadão do Sul–MS  CEP: 79.560-000 | 67 3562 1821 / 1641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6" w:rsidRDefault="00067F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92" w:rsidRDefault="005E6192" w:rsidP="00067F26">
      <w:r>
        <w:separator/>
      </w:r>
    </w:p>
  </w:footnote>
  <w:footnote w:type="continuationSeparator" w:id="0">
    <w:p w:rsidR="005E6192" w:rsidRDefault="005E6192" w:rsidP="00067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6" w:rsidRDefault="00067F2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6" w:rsidRDefault="00067F26" w:rsidP="00067F26">
    <w:pPr>
      <w:pStyle w:val="Cabealho"/>
      <w:pBdr>
        <w:bottom w:val="single" w:sz="12" w:space="1" w:color="auto"/>
      </w:pBdr>
    </w:pPr>
    <w:bookmarkStart w:id="0" w:name="_GoBack"/>
    <w:bookmarkEnd w:id="0"/>
    <w:r>
      <w:rPr>
        <w:noProof/>
        <w:lang w:eastAsia="pt-BR"/>
      </w:rPr>
      <w:drawing>
        <wp:anchor distT="0" distB="0" distL="114300" distR="114300" simplePos="0" relativeHeight="251659264" behindDoc="0" locked="0" layoutInCell="1" allowOverlap="1" wp14:anchorId="7022B66F" wp14:editId="7EBDAB3E">
          <wp:simplePos x="0" y="0"/>
          <wp:positionH relativeFrom="column">
            <wp:posOffset>5275580</wp:posOffset>
          </wp:positionH>
          <wp:positionV relativeFrom="paragraph">
            <wp:posOffset>-15240</wp:posOffset>
          </wp:positionV>
          <wp:extent cx="1102084" cy="1122343"/>
          <wp:effectExtent l="0" t="0" r="3175" b="1905"/>
          <wp:wrapNone/>
          <wp:docPr id="1" name="Imagem 1" descr="C:\Users\ronaldo.araujo\Downloads\arquivo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aldo.araujo\Downloads\arquivos\BRASAO.gif"/>
                  <pic:cNvPicPr>
                    <a:picLocks noChangeAspect="1" noChangeArrowheads="1"/>
                  </pic:cNvPicPr>
                </pic:nvPicPr>
                <pic:blipFill>
                  <a:blip r:embed="rId1"/>
                  <a:srcRect/>
                  <a:stretch>
                    <a:fillRect/>
                  </a:stretch>
                </pic:blipFill>
                <pic:spPr bwMode="auto">
                  <a:xfrm>
                    <a:off x="0" y="0"/>
                    <a:ext cx="1102084" cy="1122343"/>
                  </a:xfrm>
                  <a:prstGeom prst="rect">
                    <a:avLst/>
                  </a:prstGeom>
                  <a:noFill/>
                  <a:ln w="9525">
                    <a:noFill/>
                    <a:miter lim="800000"/>
                    <a:headEnd/>
                    <a:tailEnd/>
                  </a:ln>
                </pic:spPr>
              </pic:pic>
            </a:graphicData>
          </a:graphic>
        </wp:anchor>
      </w:drawing>
    </w:r>
  </w:p>
  <w:p w:rsidR="00067F26" w:rsidRDefault="00067F26" w:rsidP="00067F26">
    <w:pPr>
      <w:pStyle w:val="Cabealho"/>
    </w:pPr>
  </w:p>
  <w:p w:rsidR="00067F26" w:rsidRPr="00CD2EEC" w:rsidRDefault="00067F26" w:rsidP="00067F26">
    <w:pPr>
      <w:pStyle w:val="Cabealho"/>
      <w:pBdr>
        <w:bottom w:val="single" w:sz="12" w:space="1" w:color="auto"/>
      </w:pBdr>
      <w:tabs>
        <w:tab w:val="clear" w:pos="8504"/>
      </w:tabs>
      <w:spacing w:line="276" w:lineRule="auto"/>
      <w:ind w:right="1416"/>
      <w:jc w:val="center"/>
      <w:rPr>
        <w:rFonts w:ascii="Goudy Old Style" w:hAnsi="Goudy Old Style"/>
        <w:b/>
        <w:sz w:val="30"/>
        <w:szCs w:val="30"/>
      </w:rPr>
    </w:pPr>
    <w:r w:rsidRPr="00CD2EEC">
      <w:rPr>
        <w:rFonts w:ascii="Goudy Old Style" w:hAnsi="Goudy Old Style"/>
        <w:b/>
        <w:sz w:val="30"/>
        <w:szCs w:val="30"/>
      </w:rPr>
      <w:t>Prefeitura Municipal de Chapadão do Sul</w:t>
    </w:r>
  </w:p>
  <w:p w:rsidR="00067F26" w:rsidRDefault="00067F26" w:rsidP="00067F26">
    <w:pPr>
      <w:pStyle w:val="Cabealho"/>
      <w:pBdr>
        <w:bottom w:val="single" w:sz="12" w:space="1" w:color="auto"/>
      </w:pBdr>
      <w:tabs>
        <w:tab w:val="clear" w:pos="8504"/>
      </w:tabs>
      <w:spacing w:line="276" w:lineRule="auto"/>
      <w:ind w:right="1416"/>
      <w:jc w:val="center"/>
      <w:rPr>
        <w:rFonts w:ascii="Goudy Old Style" w:hAnsi="Goudy Old Style"/>
        <w:szCs w:val="30"/>
      </w:rPr>
    </w:pPr>
    <w:r w:rsidRPr="00CD2EEC">
      <w:rPr>
        <w:rFonts w:ascii="Goudy Old Style" w:hAnsi="Goudy Old Style"/>
        <w:szCs w:val="30"/>
      </w:rPr>
      <w:t xml:space="preserve">SEDEMA – Secretaria de </w:t>
    </w:r>
    <w:r>
      <w:rPr>
        <w:rFonts w:ascii="Goudy Old Style" w:hAnsi="Goudy Old Style"/>
        <w:szCs w:val="30"/>
      </w:rPr>
      <w:t>D</w:t>
    </w:r>
    <w:r w:rsidRPr="00CD2EEC">
      <w:rPr>
        <w:rFonts w:ascii="Goudy Old Style" w:hAnsi="Goudy Old Style"/>
        <w:szCs w:val="30"/>
      </w:rPr>
      <w:t>esenvolvimento Econômico e Meio Ambiente</w:t>
    </w:r>
  </w:p>
  <w:p w:rsidR="00067F26" w:rsidRPr="00CD2EEC" w:rsidRDefault="00067F26" w:rsidP="00067F26">
    <w:pPr>
      <w:pStyle w:val="Cabealho"/>
      <w:pBdr>
        <w:bottom w:val="single" w:sz="12" w:space="1" w:color="auto"/>
      </w:pBdr>
      <w:tabs>
        <w:tab w:val="clear" w:pos="8504"/>
      </w:tabs>
      <w:ind w:right="1416"/>
      <w:jc w:val="center"/>
      <w:rPr>
        <w:rFonts w:ascii="Goudy Old Style" w:hAnsi="Goudy Old Style"/>
        <w:szCs w:val="30"/>
      </w:rPr>
    </w:pPr>
  </w:p>
  <w:p w:rsidR="00067F26" w:rsidRDefault="00067F26">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26" w:rsidRDefault="00067F2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D83"/>
    <w:multiLevelType w:val="multilevel"/>
    <w:tmpl w:val="5EB8299A"/>
    <w:lvl w:ilvl="0">
      <w:start w:val="1"/>
      <w:numFmt w:val="upperRoman"/>
      <w:lvlText w:val="%1"/>
      <w:lvlJc w:val="left"/>
      <w:pPr>
        <w:ind w:left="282" w:hanging="123"/>
        <w:jc w:val="left"/>
      </w:pPr>
      <w:rPr>
        <w:rFonts w:ascii="Arial" w:eastAsia="Arial" w:hAnsi="Arial" w:cs="Arial" w:hint="default"/>
        <w:w w:val="100"/>
        <w:sz w:val="22"/>
        <w:szCs w:val="22"/>
        <w:lang w:val="pt-PT" w:eastAsia="en-US" w:bidi="ar-SA"/>
      </w:rPr>
    </w:lvl>
    <w:lvl w:ilvl="1">
      <w:start w:val="1"/>
      <w:numFmt w:val="decimal"/>
      <w:lvlText w:val="%2."/>
      <w:lvlJc w:val="left"/>
      <w:pPr>
        <w:ind w:left="500" w:hanging="202"/>
        <w:jc w:val="left"/>
      </w:pPr>
      <w:rPr>
        <w:rFonts w:ascii="Arial" w:eastAsia="Arial" w:hAnsi="Arial" w:cs="Arial" w:hint="default"/>
        <w:b/>
        <w:bCs/>
        <w:spacing w:val="-1"/>
        <w:w w:val="99"/>
        <w:sz w:val="18"/>
        <w:szCs w:val="18"/>
        <w:lang w:val="pt-PT" w:eastAsia="en-US" w:bidi="ar-SA"/>
      </w:rPr>
    </w:lvl>
    <w:lvl w:ilvl="2">
      <w:start w:val="1"/>
      <w:numFmt w:val="decimal"/>
      <w:lvlText w:val="%2.%3"/>
      <w:lvlJc w:val="left"/>
      <w:pPr>
        <w:ind w:left="599" w:hanging="301"/>
        <w:jc w:val="left"/>
      </w:pPr>
      <w:rPr>
        <w:rFonts w:ascii="Arial" w:eastAsia="Arial" w:hAnsi="Arial" w:cs="Arial" w:hint="default"/>
        <w:b/>
        <w:bCs/>
        <w:w w:val="99"/>
        <w:sz w:val="18"/>
        <w:szCs w:val="18"/>
        <w:lang w:val="pt-PT" w:eastAsia="en-US" w:bidi="ar-SA"/>
      </w:rPr>
    </w:lvl>
    <w:lvl w:ilvl="3">
      <w:numFmt w:val="bullet"/>
      <w:lvlText w:val="•"/>
      <w:lvlJc w:val="left"/>
      <w:pPr>
        <w:ind w:left="1936" w:hanging="301"/>
      </w:pPr>
      <w:rPr>
        <w:rFonts w:hint="default"/>
        <w:lang w:val="pt-PT" w:eastAsia="en-US" w:bidi="ar-SA"/>
      </w:rPr>
    </w:lvl>
    <w:lvl w:ilvl="4">
      <w:numFmt w:val="bullet"/>
      <w:lvlText w:val="•"/>
      <w:lvlJc w:val="left"/>
      <w:pPr>
        <w:ind w:left="3272" w:hanging="301"/>
      </w:pPr>
      <w:rPr>
        <w:rFonts w:hint="default"/>
        <w:lang w:val="pt-PT" w:eastAsia="en-US" w:bidi="ar-SA"/>
      </w:rPr>
    </w:lvl>
    <w:lvl w:ilvl="5">
      <w:numFmt w:val="bullet"/>
      <w:lvlText w:val="•"/>
      <w:lvlJc w:val="left"/>
      <w:pPr>
        <w:ind w:left="4609" w:hanging="301"/>
      </w:pPr>
      <w:rPr>
        <w:rFonts w:hint="default"/>
        <w:lang w:val="pt-PT" w:eastAsia="en-US" w:bidi="ar-SA"/>
      </w:rPr>
    </w:lvl>
    <w:lvl w:ilvl="6">
      <w:numFmt w:val="bullet"/>
      <w:lvlText w:val="•"/>
      <w:lvlJc w:val="left"/>
      <w:pPr>
        <w:ind w:left="5945" w:hanging="301"/>
      </w:pPr>
      <w:rPr>
        <w:rFonts w:hint="default"/>
        <w:lang w:val="pt-PT" w:eastAsia="en-US" w:bidi="ar-SA"/>
      </w:rPr>
    </w:lvl>
    <w:lvl w:ilvl="7">
      <w:numFmt w:val="bullet"/>
      <w:lvlText w:val="•"/>
      <w:lvlJc w:val="left"/>
      <w:pPr>
        <w:ind w:left="7282" w:hanging="301"/>
      </w:pPr>
      <w:rPr>
        <w:rFonts w:hint="default"/>
        <w:lang w:val="pt-PT" w:eastAsia="en-US" w:bidi="ar-SA"/>
      </w:rPr>
    </w:lvl>
    <w:lvl w:ilvl="8">
      <w:numFmt w:val="bullet"/>
      <w:lvlText w:val="•"/>
      <w:lvlJc w:val="left"/>
      <w:pPr>
        <w:ind w:left="8618" w:hanging="301"/>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51"/>
    <w:rsid w:val="000455E6"/>
    <w:rsid w:val="00067F26"/>
    <w:rsid w:val="0029638F"/>
    <w:rsid w:val="00322251"/>
    <w:rsid w:val="005E6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F8FE"/>
  <w15:chartTrackingRefBased/>
  <w15:docId w15:val="{D5952093-D9E8-423F-9DC5-32BFE281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2251"/>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322251"/>
    <w:pPr>
      <w:ind w:left="1274" w:right="1771"/>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22251"/>
    <w:rPr>
      <w:rFonts w:ascii="Arial" w:eastAsia="Arial" w:hAnsi="Arial" w:cs="Arial"/>
      <w:b/>
      <w:bCs/>
      <w:lang w:val="pt-PT"/>
    </w:rPr>
  </w:style>
  <w:style w:type="paragraph" w:styleId="Corpodetexto">
    <w:name w:val="Body Text"/>
    <w:basedOn w:val="Normal"/>
    <w:link w:val="CorpodetextoChar"/>
    <w:uiPriority w:val="1"/>
    <w:qFormat/>
    <w:rsid w:val="00322251"/>
  </w:style>
  <w:style w:type="character" w:customStyle="1" w:styleId="CorpodetextoChar">
    <w:name w:val="Corpo de texto Char"/>
    <w:basedOn w:val="Fontepargpadro"/>
    <w:link w:val="Corpodetexto"/>
    <w:uiPriority w:val="1"/>
    <w:rsid w:val="00322251"/>
    <w:rPr>
      <w:rFonts w:ascii="Arial" w:eastAsia="Arial" w:hAnsi="Arial" w:cs="Arial"/>
      <w:lang w:val="pt-PT"/>
    </w:rPr>
  </w:style>
  <w:style w:type="paragraph" w:styleId="PargrafodaLista">
    <w:name w:val="List Paragraph"/>
    <w:basedOn w:val="Normal"/>
    <w:uiPriority w:val="1"/>
    <w:qFormat/>
    <w:rsid w:val="00322251"/>
    <w:pPr>
      <w:ind w:left="260"/>
    </w:pPr>
  </w:style>
  <w:style w:type="paragraph" w:styleId="Cabealho">
    <w:name w:val="header"/>
    <w:basedOn w:val="Normal"/>
    <w:link w:val="CabealhoChar"/>
    <w:uiPriority w:val="99"/>
    <w:unhideWhenUsed/>
    <w:rsid w:val="00067F26"/>
    <w:pPr>
      <w:tabs>
        <w:tab w:val="center" w:pos="4252"/>
        <w:tab w:val="right" w:pos="8504"/>
      </w:tabs>
    </w:pPr>
  </w:style>
  <w:style w:type="character" w:customStyle="1" w:styleId="CabealhoChar">
    <w:name w:val="Cabeçalho Char"/>
    <w:basedOn w:val="Fontepargpadro"/>
    <w:link w:val="Cabealho"/>
    <w:uiPriority w:val="99"/>
    <w:rsid w:val="00067F26"/>
    <w:rPr>
      <w:rFonts w:ascii="Arial" w:eastAsia="Arial" w:hAnsi="Arial" w:cs="Arial"/>
      <w:lang w:val="pt-PT"/>
    </w:rPr>
  </w:style>
  <w:style w:type="paragraph" w:styleId="Rodap">
    <w:name w:val="footer"/>
    <w:basedOn w:val="Normal"/>
    <w:link w:val="RodapChar"/>
    <w:uiPriority w:val="99"/>
    <w:unhideWhenUsed/>
    <w:rsid w:val="00067F26"/>
    <w:pPr>
      <w:tabs>
        <w:tab w:val="center" w:pos="4252"/>
        <w:tab w:val="right" w:pos="8504"/>
      </w:tabs>
    </w:pPr>
  </w:style>
  <w:style w:type="character" w:customStyle="1" w:styleId="RodapChar">
    <w:name w:val="Rodapé Char"/>
    <w:basedOn w:val="Fontepargpadro"/>
    <w:link w:val="Rodap"/>
    <w:uiPriority w:val="99"/>
    <w:rsid w:val="00067F26"/>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Rennan Lima Arakaki</dc:creator>
  <cp:keywords/>
  <dc:description/>
  <cp:lastModifiedBy>Rennan Lima Arakaki</cp:lastModifiedBy>
  <cp:revision>2</cp:revision>
  <dcterms:created xsi:type="dcterms:W3CDTF">2021-08-17T15:00:00Z</dcterms:created>
  <dcterms:modified xsi:type="dcterms:W3CDTF">2021-08-17T17:14:00Z</dcterms:modified>
</cp:coreProperties>
</file>